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Lefebvre d'Ovidio Manfredi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SOUTH AUDLEY STREET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W1K2QH</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newcleo plc</w:t>
              </w:r>
            </w:hyperlink>
            <w:r>
              <w:rPr/>
              <w:t xml:space="preserve"> [ </w:t>
            </w:r>
            <w:r>
              <w:rPr>
                <w:rFonts w:ascii="Times;serif" w:hAnsi="Times;serif"/>
                <w:color w:val="0000FF"/>
                <w:sz w:val="24"/>
                <w:shd w:fill="FFFFFF" w:val="clear"/>
              </w:rPr>
              <w:t>NWCL</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2"/>
        <w:gridCol w:w="1959"/>
        <w:gridCol w:w="1159"/>
        <w:gridCol w:w="2655"/>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1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4,435,490</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Ordinary Shares held by Emmeplus Limited. The Reporting Person is the beneficial owner of the Ordinary Shares held by Emmeplus Limited and has sole voting and dispositive power of the Ordinary Shares held by such entity.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Kateryna Fedorova, attorney-in-fact for Manfredi Lefebvre d'Ovidio de Clunieres di Balsorano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dp253686_ex24.htm"/>
      <w:bookmarkStart w:id="3" w:name="ksdp253686_ex24"/>
      <w:bookmarkEnd w:id="2"/>
      <w:bookmarkEnd w:id="3"/>
      <w:r>
        <w:rPr/>
        <w:t> </w:t>
      </w:r>
      <w:r>
        <w:br w:type="page"/>
      </w:r>
    </w:p>
    <w:p>
      <w:pPr>
        <w:pStyle w:val="TextBody"/>
        <w:bidi w:val="0"/>
        <w:jc w:val="right"/>
        <w:rPr>
          <w:rFonts w:ascii="Times New Roman;Times;Serif" w:hAnsi="Times New Roman;Times;Serif"/>
          <w:b/>
          <w:sz w:val="20"/>
        </w:rPr>
      </w:pPr>
      <w:r>
        <w:rPr>
          <w:rFonts w:ascii="Times New Roman;Times;Serif" w:hAnsi="Times New Roman;Times;Serif"/>
          <w:b/>
          <w:sz w:val="20"/>
        </w:rPr>
        <w:t>Exhibit 24</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Khalil Bukhari and Kateryna Fedorova as the undersigned’s true and lawful attorneys-in-fact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system or successor EDGAR Next, including identification codes, verification codes, passwords and password management codes, and any related annual certifications or confirmations, and to act as the undersigned’s agent for such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execute for and on behalf of the undersigned, in the undersigned’s capacity as a reporting person pursuant to Section 16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the rules thereunder of newcleo plc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Forms 3, 4 and 5, including any amendments thereto, in accordance with Section 16(a)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any applicable stock exchange or similar authority;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prepare, execute and file, or cause to be prepared, executed and filed, on behalf of the undersigned one or more Forms 144, or any amendments thereto, relating to any sales orders (including in connection with the exercise, conversion or other similar actions relating to any of the Company’s equity securities), orally or electronically, to sell equity securities to the public from time to time in accordance with Rule 144 under the Securities Act of 1933, as amended;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16th day of September, 2026.</w:t>
      </w:r>
    </w:p>
    <w:p>
      <w:pPr>
        <w:pStyle w:val="TextBody"/>
        <w:bidi w:val="0"/>
        <w:spacing w:before="0" w:after="0"/>
        <w:ind w:left="0" w:right="0" w:firstLine="720"/>
        <w:jc w:val="left"/>
        <w:rPr>
          <w:caps w:val="false"/>
          <w:smallCaps w:val="false"/>
        </w:rPr>
      </w:pPr>
      <w:r>
        <w:rPr>
          <w:caps w:val="false"/>
          <w:smallCaps w:val="false"/>
        </w:rPr>
        <w:t> </w:t>
      </w:r>
    </w:p>
    <w:tbl>
      <w:tblPr>
        <w:tblW w:w="5650" w:type="dxa"/>
        <w:jc w:val="left"/>
        <w:tblInd w:w="0" w:type="dxa"/>
        <w:tblLayout w:type="fixed"/>
        <w:tblCellMar>
          <w:top w:w="0" w:type="dxa"/>
          <w:left w:w="0" w:type="dxa"/>
          <w:bottom w:w="0" w:type="dxa"/>
          <w:right w:w="0" w:type="dxa"/>
        </w:tblCellMar>
      </w:tblPr>
      <w:tblGrid>
        <w:gridCol w:w="875"/>
        <w:gridCol w:w="4700"/>
        <w:gridCol w:w="75"/>
      </w:tblGrid>
      <w:tr>
        <w:trPr/>
        <w:tc>
          <w:tcPr>
            <w:tcW w:w="875" w:type="dxa"/>
            <w:tcBorders/>
            <w:vAlign w:val="center"/>
          </w:tcPr>
          <w:p>
            <w:pPr>
              <w:pStyle w:val="TableContents"/>
              <w:bidi w:val="0"/>
              <w:spacing w:before="0" w:after="283"/>
              <w:jc w:val="left"/>
              <w:rPr>
                <w:sz w:val="20"/>
              </w:rPr>
            </w:pPr>
            <w:r>
              <w:rPr>
                <w:sz w:val="20"/>
              </w:rPr>
              <w:t>Name:</w:t>
            </w:r>
          </w:p>
        </w:tc>
        <w:tc>
          <w:tcPr>
            <w:tcW w:w="4700" w:type="dxa"/>
            <w:tcBorders>
              <w:bottom w:val="single" w:sz="8" w:space="0" w:color="000000"/>
            </w:tcBorders>
            <w:tcMar>
              <w:bottom w:w="28" w:type="dxa"/>
            </w:tcMar>
            <w:vAlign w:val="center"/>
          </w:tcPr>
          <w:p>
            <w:pPr>
              <w:pStyle w:val="TableContents"/>
              <w:bidi w:val="0"/>
              <w:spacing w:before="0" w:after="283"/>
              <w:jc w:val="left"/>
              <w:rPr>
                <w:sz w:val="20"/>
              </w:rPr>
            </w:pPr>
            <w:r>
              <w:rPr>
                <w:sz w:val="20"/>
              </w:rPr>
              <w:t>Manfredi Lefebvre d’Ovidio de Clunieres di Balsorano</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47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20"/>
              </w:rPr>
            </w:pPr>
            <w:r>
              <w:rPr>
                <w:sz w:val="20"/>
              </w:rPr>
              <w:t>Signature:</w:t>
            </w:r>
          </w:p>
        </w:tc>
        <w:tc>
          <w:tcPr>
            <w:tcW w:w="470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Manfredi Lefebvre d’Ovidio de Clunieres di Balsorano</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40678" TargetMode="External"/><Relationship Id="rId3" Type="http://schemas.openxmlformats.org/officeDocument/2006/relationships/hyperlink" Target="http://www.sec.gov/cgi-bin/browse-edgar?action=getcompany&amp;CIK=000213181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1136</Words>
  <Characters>6150</Characters>
  <CharactersWithSpaces>7274</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