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Lyash Jeffrey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SOUTH AUDLEY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W1K2QH</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newcleo plc</w:t>
              </w:r>
            </w:hyperlink>
            <w:r>
              <w:rPr/>
              <w:t xml:space="preserve"> [ </w:t>
            </w:r>
            <w:r>
              <w:rPr>
                <w:rFonts w:ascii="Times;serif" w:hAnsi="Times;serif"/>
                <w:color w:val="0000FF"/>
                <w:sz w:val="24"/>
                <w:shd w:fill="FFFFFF" w:val="clear"/>
              </w:rPr>
              <w:t>NWCL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Kateryna Fedorova, attorney-in-fact for Jeffrey J. Lyash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dp253693_ex24.htm"/>
      <w:bookmarkStart w:id="3" w:name="ksdp253693_ex24"/>
      <w:bookmarkEnd w:id="2"/>
      <w:bookmarkEnd w:id="3"/>
      <w:r>
        <w:rPr>
          <w:rFonts w:ascii="Times New Roman;Times;Serif" w:hAnsi="Times New Roman;Times;Serif"/>
          <w:b/>
          <w:i w:val="false"/>
          <w:caps w:val="false"/>
          <w:smallCaps w:val="false"/>
          <w:sz w:val="20"/>
        </w:rPr>
        <w:t>Exhibit 24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Khalil Bukhari and Kateryna Fedorova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newcleo plc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any applicable stock exchange or similar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prepare, execute and file, or cause to be prepared, executed and filed, on behalf of the undersigned one or more Forms 144, or any amendments thereto, relating to any sales orders (including in connection with the exercise, conversion or other similar actions relating to any of the Company’s equity securities), orally or electronically, to sell equity securities to the public from time to time in accordance with Rule 144 under the Securities Act of 1933, as amended;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16th day of September,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875"/>
        <w:gridCol w:w="1505"/>
        <w:gridCol w:w="75"/>
      </w:tblGrid>
      <w:tr>
        <w:trPr/>
        <w:tc>
          <w:tcPr>
            <w:tcW w:w="875" w:type="dxa"/>
            <w:tcBorders/>
            <w:vAlign w:val="center"/>
          </w:tcPr>
          <w:p>
            <w:pPr>
              <w:pStyle w:val="TableContents"/>
              <w:bidi w:val="0"/>
              <w:spacing w:before="0" w:after="283"/>
              <w:jc w:val="left"/>
              <w:rPr>
                <w:sz w:val="20"/>
              </w:rPr>
            </w:pPr>
            <w:r>
              <w:rPr>
                <w:sz w:val="20"/>
              </w:rPr>
              <w:t>Name:</w:t>
            </w:r>
          </w:p>
        </w:tc>
        <w:tc>
          <w:tcPr>
            <w:tcW w:w="1505" w:type="dxa"/>
            <w:tcBorders>
              <w:bottom w:val="single" w:sz="8" w:space="0" w:color="000000"/>
            </w:tcBorders>
            <w:tcMar>
              <w:bottom w:w="28" w:type="dxa"/>
            </w:tcMar>
            <w:vAlign w:val="center"/>
          </w:tcPr>
          <w:p>
            <w:pPr>
              <w:pStyle w:val="TableContents"/>
              <w:bidi w:val="0"/>
              <w:spacing w:before="0" w:after="283"/>
              <w:jc w:val="left"/>
              <w:rPr>
                <w:sz w:val="20"/>
              </w:rPr>
            </w:pPr>
            <w:r>
              <w:rPr>
                <w:sz w:val="20"/>
              </w:rPr>
              <w:t>Jeffrey J. Lyash</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Signature:</w:t>
            </w:r>
          </w:p>
        </w:tc>
        <w:tc>
          <w:tcPr>
            <w:tcW w:w="15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Jeffrey J. Lyash</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67185" TargetMode="External"/><Relationship Id="rId3" Type="http://schemas.openxmlformats.org/officeDocument/2006/relationships/hyperlink" Target="http://www.sec.gov/cgi-bin/browse-edgar?action=getcompany&amp;CIK=000213181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1085</Words>
  <Characters>5842</Characters>
  <CharactersWithSpaces>6920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