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Stranske Jon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 SOUTH AUDLEY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W1K2QH</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09/21/2026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newcleo plc</w:t>
              </w:r>
            </w:hyperlink>
            <w:r>
              <w:rPr/>
              <w:t xml:space="preserve"> [ </w:t>
            </w:r>
            <w:r>
              <w:rPr>
                <w:rFonts w:ascii="Times;serif" w:hAnsi="Times;serif"/>
                <w:color w:val="0000FF"/>
                <w:sz w:val="24"/>
                <w:shd w:fill="FFFFFF" w:val="clear"/>
              </w:rPr>
              <w:t>NWCL</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67,298</w:t>
            </w:r>
            <w:r>
              <w:rPr>
                <w:rFonts w:ascii="Times;serif" w:hAnsi="Times;serif"/>
                <w:color w:val="008000"/>
                <w:position w:val="7"/>
                <w:sz w:val="16"/>
                <w:sz w:val="20"/>
                <w:shd w:fill="FFFFFF" w:val="clear"/>
              </w:rPr>
              <w:t>(1)</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restricted stock units ("RSU") that are subject to time-based vesting. Each RSU represents a contingent right to receive one Ordinary Share.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Kateryna Fedorova, attorney-in-fact for Jon Stranske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dp253689_ex24.htm"/>
      <w:bookmarkStart w:id="3" w:name="ksdp253689_ex24"/>
      <w:bookmarkEnd w:id="2"/>
      <w:bookmarkEnd w:id="3"/>
      <w:r>
        <w:rPr>
          <w:rFonts w:ascii="Times New Roman;Times;Serif" w:hAnsi="Times New Roman;Times;Serif"/>
          <w:b/>
          <w:i w:val="false"/>
          <w:caps w:val="false"/>
          <w:smallCaps w:val="false"/>
          <w:sz w:val="20"/>
        </w:rPr>
        <w:t>Exhibit 24</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Khalil Bukhari and Kateryna Fedorova as the undersigned’s true and lawful attorneys-in-fact to: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system or successor EDGAR Next, including identification codes, verification codes, passwords and password management codes, and any related annual certifications or confirmations, and to act as the undersigned’s agent for such purposes;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 for and on behalf of the undersigned, in the undersigned’s capacity as a reporting person pursuant to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and the rules thereunder of newcleo plc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Forms 3, 4 and 5, including any amendments thereto, in accordance with Section 16(a)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and any applicable stock exchange or similar authority;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prepare, execute and file, or cause to be prepared, executed and filed, on behalf of the undersigned one or more Forms 144, or any amendments thereto, relating to any sales orders (including in connection with the exercise, conversion or other similar actions relating to any of the Company’s equity securities), orally or electronically, to sell equity securities to the public from time to time in accordance with Rule 144 under the Securities Act of 1933, as amended; 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supersedes all other powers of attorney previously executed by the undersigned in respect of the subject matter described herein.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16th day of September, 2026.</w:t>
      </w:r>
    </w:p>
    <w:p>
      <w:pPr>
        <w:pStyle w:val="TextBody"/>
        <w:bidi w:val="0"/>
        <w:spacing w:before="0" w:after="0"/>
        <w:ind w:left="0" w:right="0" w:firstLine="72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875"/>
        <w:gridCol w:w="1280"/>
        <w:gridCol w:w="75"/>
      </w:tblGrid>
      <w:tr>
        <w:trPr/>
        <w:tc>
          <w:tcPr>
            <w:tcW w:w="875" w:type="dxa"/>
            <w:tcBorders/>
            <w:vAlign w:val="center"/>
          </w:tcPr>
          <w:p>
            <w:pPr>
              <w:pStyle w:val="TableContents"/>
              <w:bidi w:val="0"/>
              <w:spacing w:before="0" w:after="283"/>
              <w:jc w:val="left"/>
              <w:rPr>
                <w:sz w:val="20"/>
              </w:rPr>
            </w:pPr>
            <w:r>
              <w:rPr>
                <w:sz w:val="20"/>
              </w:rPr>
              <w:t>Name:</w:t>
            </w:r>
          </w:p>
        </w:tc>
        <w:tc>
          <w:tcPr>
            <w:tcW w:w="1280" w:type="dxa"/>
            <w:tcBorders>
              <w:bottom w:val="single" w:sz="8" w:space="0" w:color="000000"/>
            </w:tcBorders>
            <w:tcMar>
              <w:bottom w:w="28" w:type="dxa"/>
            </w:tcMar>
            <w:vAlign w:val="center"/>
          </w:tcPr>
          <w:p>
            <w:pPr>
              <w:pStyle w:val="TableContents"/>
              <w:bidi w:val="0"/>
              <w:spacing w:before="0" w:after="283"/>
              <w:jc w:val="left"/>
              <w:rPr>
                <w:sz w:val="20"/>
              </w:rPr>
            </w:pPr>
            <w:r>
              <w:rPr>
                <w:sz w:val="20"/>
              </w:rPr>
              <w:t>Jon Stranske</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283"/>
              <w:jc w:val="left"/>
              <w:rPr>
                <w:sz w:val="20"/>
              </w:rPr>
            </w:pPr>
            <w:r>
              <w:rPr>
                <w:sz w:val="20"/>
              </w:rPr>
              <w:t>Signature:</w:t>
            </w:r>
          </w:p>
        </w:tc>
        <w:tc>
          <w:tcPr>
            <w:tcW w:w="128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Jon Stranske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7669" TargetMode="External"/><Relationship Id="rId3" Type="http://schemas.openxmlformats.org/officeDocument/2006/relationships/hyperlink" Target="http://www.sec.gov/cgi-bin/browse-edgar?action=getcompany&amp;CIK=0002131813"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1107</Words>
  <Characters>5977</Characters>
  <CharactersWithSpaces>7071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