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031_8a12b.htm"/>
      <w:bookmarkStart w:id="1" w:name="ksef20082031_8a12b"/>
      <w:bookmarkStart w:id="2" w:name="ef20082031_8a12b.htm"/>
      <w:bookmarkStart w:id="3" w:name="ksef20082031_8a12b"/>
      <w:bookmarkEnd w:id="2"/>
      <w:bookmarkEnd w:id="3"/>
    </w:p>
    <w:p>
      <w:pPr>
        <w:pStyle w:val="TextBody"/>
        <w:bidi w:val="0"/>
        <w:spacing w:before="0" w:after="0"/>
        <w:ind w:left="14" w:right="144" w:hanging="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bidi w:val="0"/>
        <w:spacing w:before="0" w:after="0"/>
        <w:ind w:left="14" w:right="144" w:hanging="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ind w:left="14" w:right="144" w:hanging="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ind w:left="14" w:right="144" w:hanging="0"/>
        <w:jc w:val="center"/>
        <w:rPr>
          <w:b/>
          <w:color w:val="000000"/>
          <w:sz w:val="20"/>
        </w:rPr>
      </w:pPr>
      <w:r>
        <w:rPr>
          <w:b/>
          <w:color w:val="000000"/>
          <w:sz w:val="20"/>
        </w:rPr>
      </w:r>
    </w:p>
    <w:p>
      <w:pPr>
        <w:pStyle w:val="HorizontalLine"/>
        <w:pBdr>
          <w:bottom w:val="single" w:sz="12" w:space="0" w:color="808080"/>
        </w:pBdr>
        <w:bidi w:val="0"/>
        <w:ind w:left="14" w:right="144" w:hanging="0"/>
        <w:jc w:val="left"/>
        <w:rPr/>
      </w:pPr>
      <w:r>
        <w:rPr/>
      </w:r>
    </w:p>
    <w:p>
      <w:pPr>
        <w:pStyle w:val="TextBody"/>
        <w:bidi w:val="0"/>
        <w:spacing w:before="0" w:after="0"/>
        <w:ind w:left="14" w:right="144" w:hanging="0"/>
        <w:jc w:val="center"/>
        <w:rPr>
          <w:rFonts w:ascii="Times New Roman" w:hAnsi="Times New Roman"/>
          <w:b/>
          <w:color w:val="000000"/>
          <w:sz w:val="36"/>
        </w:rPr>
      </w:pPr>
      <w:r>
        <w:rPr>
          <w:rFonts w:ascii="Times New Roman" w:hAnsi="Times New Roman"/>
          <w:b/>
          <w:color w:val="000000"/>
          <w:sz w:val="36"/>
        </w:rPr>
        <w:t>FORM 8-A</w:t>
      </w:r>
    </w:p>
    <w:p>
      <w:pPr>
        <w:pStyle w:val="TextBody"/>
        <w:bidi w:val="0"/>
        <w:spacing w:before="0" w:after="0"/>
        <w:ind w:left="14" w:right="144" w:hanging="0"/>
        <w:jc w:val="center"/>
        <w:rPr>
          <w:b/>
          <w:color w:val="000000"/>
          <w:sz w:val="20"/>
        </w:rPr>
      </w:pPr>
      <w:r>
        <w:rPr>
          <w:b/>
          <w:color w:val="000000"/>
          <w:sz w:val="20"/>
        </w:rPr>
      </w:r>
    </w:p>
    <w:p>
      <w:pPr>
        <w:pStyle w:val="HorizontalLine"/>
        <w:pBdr>
          <w:bottom w:val="single" w:sz="12" w:space="0" w:color="808080"/>
        </w:pBdr>
        <w:bidi w:val="0"/>
        <w:ind w:left="14" w:right="144" w:hanging="0"/>
        <w:jc w:val="left"/>
        <w:rPr/>
      </w:pPr>
      <w:r>
        <w:rPr/>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FOR REGISTRATION OF CERTAIN CLASSES OF SECURITIES</w:t>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PURSUANT TO SECTION 12(b) OR 12(g) OF THE</w:t>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ind w:left="14" w:right="144" w:hanging="0"/>
        <w:jc w:val="center"/>
        <w:rPr>
          <w:b/>
          <w:color w:val="000000"/>
        </w:rPr>
      </w:pPr>
      <w:r>
        <w:rPr>
          <w:b/>
          <w:color w:val="000000"/>
        </w:rPr>
      </w:r>
    </w:p>
    <w:p>
      <w:pPr>
        <w:pStyle w:val="HorizontalLine"/>
        <w:pBdr>
          <w:bottom w:val="single" w:sz="12" w:space="0" w:color="808080"/>
        </w:pBdr>
        <w:bidi w:val="0"/>
        <w:ind w:left="14" w:right="144" w:hanging="0"/>
        <w:jc w:val="left"/>
        <w:rPr/>
      </w:pPr>
      <w:r>
        <w:rPr/>
      </w:r>
    </w:p>
    <w:p>
      <w:pPr>
        <w:pStyle w:val="TextBody"/>
        <w:bidi w:val="0"/>
        <w:spacing w:before="0" w:after="0"/>
        <w:ind w:left="14" w:right="144" w:hanging="0"/>
        <w:jc w:val="center"/>
        <w:rPr>
          <w:rFonts w:ascii="Times New Roman" w:hAnsi="Times New Roman"/>
          <w:b/>
          <w:color w:val="000000"/>
          <w:sz w:val="48"/>
        </w:rPr>
      </w:pPr>
      <w:r>
        <w:rPr>
          <w:rFonts w:ascii="Times New Roman" w:hAnsi="Times New Roman"/>
          <w:b/>
          <w:color w:val="000000"/>
          <w:sz w:val="48"/>
        </w:rPr>
        <w:t>newcleo plc</w:t>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0"/>
        <w:ind w:left="14" w:right="144" w:hanging="0"/>
        <w:jc w:val="center"/>
        <w:rPr>
          <w:b/>
          <w:color w:val="000000"/>
        </w:rPr>
      </w:pPr>
      <w:r>
        <w:rPr>
          <w:b/>
          <w:color w:val="000000"/>
        </w:rPr>
      </w:r>
    </w:p>
    <w:p>
      <w:pPr>
        <w:pStyle w:val="HorizontalLine"/>
        <w:pBdr>
          <w:bottom w:val="single" w:sz="12" w:space="0" w:color="808080"/>
        </w:pBdr>
        <w:bidi w:val="0"/>
        <w:ind w:left="14" w:right="144" w:hanging="0"/>
        <w:jc w:val="left"/>
        <w:rPr/>
      </w:pPr>
      <w:r>
        <w:rPr/>
      </w:r>
    </w:p>
    <w:p>
      <w:pPr>
        <w:pStyle w:val="Normal"/>
        <w:bidi w:val="0"/>
        <w:spacing w:before="0" w:after="0"/>
        <w:ind w:left="14" w:right="144" w:hanging="0"/>
        <w:jc w:val="left"/>
        <w:rPr>
          <w:sz w:val="4"/>
          <w:szCs w:val="4"/>
        </w:rPr>
      </w:pPr>
      <w:r>
        <w:rPr>
          <w:sz w:val="4"/>
          <w:szCs w:val="4"/>
        </w:rPr>
      </w:r>
      <w:bookmarkStart w:id="4" w:name="z1392e2ca3c134bfa92adb7cf6f0d03a8"/>
      <w:bookmarkStart w:id="5" w:name="z1392e2ca3c134bfa92adb7cf6f0d03a8"/>
      <w:bookmarkEnd w:id="5"/>
    </w:p>
    <w:tbl>
      <w:tblPr>
        <w:tblW w:w="8788" w:type="dxa"/>
        <w:jc w:val="left"/>
        <w:tblInd w:w="0" w:type="dxa"/>
        <w:tblLayout w:type="fixed"/>
        <w:tblCellMar>
          <w:top w:w="0" w:type="dxa"/>
          <w:left w:w="0" w:type="dxa"/>
          <w:bottom w:w="0" w:type="dxa"/>
          <w:right w:w="0" w:type="dxa"/>
        </w:tblCellMar>
      </w:tblPr>
      <w:tblGrid>
        <w:gridCol w:w="4934"/>
        <w:gridCol w:w="60"/>
        <w:gridCol w:w="3794"/>
      </w:tblGrid>
      <w:tr>
        <w:trPr/>
        <w:tc>
          <w:tcPr>
            <w:tcW w:w="4934" w:type="dxa"/>
            <w:tcBorders/>
            <w:vAlign w:val="center"/>
          </w:tcPr>
          <w:p>
            <w:pPr>
              <w:pStyle w:val="TableContents"/>
              <w:bidi w:val="0"/>
              <w:spacing w:before="0" w:after="0"/>
              <w:ind w:left="14" w:right="144" w:hanging="0"/>
              <w:jc w:val="center"/>
              <w:rPr>
                <w:b/>
              </w:rPr>
            </w:pPr>
            <w:r>
              <w:rPr>
                <w:b/>
              </w:rPr>
              <w:t>England and Wales</w:t>
            </w:r>
          </w:p>
        </w:tc>
        <w:tc>
          <w:tcPr>
            <w:tcW w:w="60" w:type="dxa"/>
            <w:tcBorders/>
            <w:vAlign w:val="center"/>
          </w:tcPr>
          <w:p>
            <w:pPr>
              <w:pStyle w:val="TableContents"/>
              <w:bidi w:val="0"/>
              <w:spacing w:before="0" w:after="283"/>
              <w:jc w:val="left"/>
              <w:rPr/>
            </w:pPr>
            <w:r>
              <w:rPr/>
              <w:t> </w:t>
            </w:r>
          </w:p>
        </w:tc>
        <w:tc>
          <w:tcPr>
            <w:tcW w:w="3794" w:type="dxa"/>
            <w:tcBorders/>
            <w:vAlign w:val="center"/>
          </w:tcPr>
          <w:p>
            <w:pPr>
              <w:pStyle w:val="TableContents"/>
              <w:bidi w:val="0"/>
              <w:spacing w:before="0" w:after="0"/>
              <w:ind w:left="14" w:right="144" w:hanging="0"/>
              <w:jc w:val="center"/>
              <w:rPr>
                <w:b/>
              </w:rPr>
            </w:pPr>
            <w:r>
              <w:rPr>
                <w:b/>
              </w:rPr>
              <w:t>N/A</w:t>
            </w:r>
          </w:p>
        </w:tc>
      </w:tr>
      <w:tr>
        <w:trPr/>
        <w:tc>
          <w:tcPr>
            <w:tcW w:w="4934" w:type="dxa"/>
            <w:tcBorders/>
            <w:vAlign w:val="center"/>
          </w:tcPr>
          <w:p>
            <w:pPr>
              <w:pStyle w:val="TableContents"/>
              <w:bidi w:val="0"/>
              <w:spacing w:before="0" w:after="0"/>
              <w:ind w:left="14" w:right="144" w:hanging="0"/>
              <w:jc w:val="center"/>
              <w:rPr>
                <w:b/>
              </w:rPr>
            </w:pPr>
            <w:r>
              <w:rPr>
                <w:b/>
              </w:rPr>
              <w:t>(Jurisdiction of Incorporation or Organization)</w:t>
            </w:r>
          </w:p>
        </w:tc>
        <w:tc>
          <w:tcPr>
            <w:tcW w:w="60" w:type="dxa"/>
            <w:tcBorders/>
            <w:vAlign w:val="center"/>
          </w:tcPr>
          <w:p>
            <w:pPr>
              <w:pStyle w:val="TableContents"/>
              <w:bidi w:val="0"/>
              <w:spacing w:before="0" w:after="283"/>
              <w:jc w:val="left"/>
              <w:rPr/>
            </w:pPr>
            <w:r>
              <w:rPr/>
              <w:t> </w:t>
            </w:r>
          </w:p>
        </w:tc>
        <w:tc>
          <w:tcPr>
            <w:tcW w:w="3794" w:type="dxa"/>
            <w:tcBorders/>
            <w:vAlign w:val="center"/>
          </w:tcPr>
          <w:p>
            <w:pPr>
              <w:pStyle w:val="TableContents"/>
              <w:bidi w:val="0"/>
              <w:spacing w:before="0" w:after="0"/>
              <w:ind w:left="14" w:right="144" w:hanging="0"/>
              <w:jc w:val="center"/>
              <w:rPr>
                <w:b/>
              </w:rPr>
            </w:pPr>
            <w:r>
              <w:rPr>
                <w:b/>
              </w:rPr>
              <w:t>(I.R.S. Employer Identification No.)</w:t>
            </w:r>
          </w:p>
        </w:tc>
      </w:tr>
    </w:tbl>
    <w:p>
      <w:pPr>
        <w:pStyle w:val="TextBody"/>
        <w:bidi w:val="0"/>
        <w:spacing w:before="0" w:after="0"/>
        <w:jc w:val="left"/>
        <w:rPr/>
      </w:pPr>
      <w:r>
        <w:rPr/>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55 South Audley Street</w:t>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London, W1K 2QH</w:t>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United Kingdom</w:t>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spacing w:before="0" w:after="0"/>
        <w:jc w:val="left"/>
        <w:rPr>
          <w:color w:val="000000"/>
        </w:rPr>
      </w:pPr>
      <w:r>
        <w:rPr>
          <w:color w:val="000000"/>
        </w:rPr>
        <w:t> </w:t>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Securities to be registered pursuant to Section 12(b) of the Act:</w:t>
      </w:r>
    </w:p>
    <w:p>
      <w:pPr>
        <w:pStyle w:val="TextBody"/>
        <w:bidi w:val="0"/>
        <w:spacing w:before="0" w:after="0"/>
        <w:ind w:left="14" w:right="144" w:hanging="0"/>
        <w:jc w:val="left"/>
        <w:rPr/>
      </w:pPr>
      <w:r>
        <w:rPr/>
      </w:r>
    </w:p>
    <w:p>
      <w:pPr>
        <w:pStyle w:val="Normal"/>
        <w:bidi w:val="0"/>
        <w:spacing w:before="0" w:after="0"/>
        <w:jc w:val="left"/>
        <w:rPr>
          <w:sz w:val="4"/>
          <w:szCs w:val="4"/>
        </w:rPr>
      </w:pPr>
      <w:r>
        <w:rPr>
          <w:sz w:val="4"/>
          <w:szCs w:val="4"/>
        </w:rPr>
      </w:r>
      <w:bookmarkStart w:id="6" w:name="zeda27bcb538d4670aaeef4acaedce9d5"/>
      <w:bookmarkStart w:id="7" w:name="zeda27bcb538d4670aaeef4acaedce9d5"/>
      <w:bookmarkEnd w:id="7"/>
    </w:p>
    <w:tbl>
      <w:tblPr>
        <w:tblW w:w="10205" w:type="dxa"/>
        <w:jc w:val="left"/>
        <w:tblInd w:w="0" w:type="dxa"/>
        <w:tblLayout w:type="fixed"/>
        <w:tblCellMar>
          <w:top w:w="0" w:type="dxa"/>
          <w:left w:w="0" w:type="dxa"/>
          <w:bottom w:w="28" w:type="dxa"/>
          <w:right w:w="0" w:type="dxa"/>
        </w:tblCellMar>
      </w:tblPr>
      <w:tblGrid>
        <w:gridCol w:w="6426"/>
        <w:gridCol w:w="60"/>
        <w:gridCol w:w="3719"/>
      </w:tblGrid>
      <w:tr>
        <w:trPr/>
        <w:tc>
          <w:tcPr>
            <w:tcW w:w="6426" w:type="dxa"/>
            <w:tcBorders>
              <w:bottom w:val="single" w:sz="12" w:space="0" w:color="000000"/>
            </w:tcBorders>
            <w:vAlign w:val="center"/>
          </w:tcPr>
          <w:p>
            <w:pPr>
              <w:pStyle w:val="TableContents"/>
              <w:bidi w:val="0"/>
              <w:spacing w:before="0" w:after="0"/>
              <w:ind w:left="14" w:right="144" w:hanging="0"/>
              <w:jc w:val="center"/>
              <w:rPr>
                <w:b/>
              </w:rPr>
            </w:pPr>
            <w:r>
              <w:rPr>
                <w:b/>
              </w:rPr>
              <w:t>Title of Each Class</w:t>
            </w:r>
          </w:p>
          <w:p>
            <w:pPr>
              <w:pStyle w:val="TableContents"/>
              <w:bidi w:val="0"/>
              <w:spacing w:before="0" w:after="0"/>
              <w:ind w:left="14" w:right="144" w:hanging="0"/>
              <w:jc w:val="center"/>
              <w:rPr>
                <w:b/>
              </w:rPr>
            </w:pPr>
            <w:r>
              <w:rPr>
                <w:b/>
              </w:rPr>
              <w:t>to be so Registered</w:t>
            </w:r>
          </w:p>
        </w:tc>
        <w:tc>
          <w:tcPr>
            <w:tcW w:w="60" w:type="dxa"/>
            <w:tcBorders/>
            <w:tcMar>
              <w:bottom w:w="0" w:type="dxa"/>
            </w:tcMar>
            <w:vAlign w:val="center"/>
          </w:tcPr>
          <w:p>
            <w:pPr>
              <w:pStyle w:val="TableContents"/>
              <w:bidi w:val="0"/>
              <w:spacing w:before="0" w:after="283"/>
              <w:jc w:val="left"/>
              <w:rPr/>
            </w:pPr>
            <w:r>
              <w:rPr/>
              <w:t> </w:t>
            </w:r>
          </w:p>
        </w:tc>
        <w:tc>
          <w:tcPr>
            <w:tcW w:w="3719" w:type="dxa"/>
            <w:tcBorders>
              <w:bottom w:val="single" w:sz="12" w:space="0" w:color="000000"/>
            </w:tcBorders>
            <w:vAlign w:val="center"/>
          </w:tcPr>
          <w:p>
            <w:pPr>
              <w:pStyle w:val="TableContents"/>
              <w:bidi w:val="0"/>
              <w:spacing w:before="0" w:after="0"/>
              <w:ind w:left="14" w:right="144" w:hanging="0"/>
              <w:jc w:val="center"/>
              <w:rPr>
                <w:b/>
              </w:rPr>
            </w:pPr>
            <w:r>
              <w:rPr>
                <w:b/>
              </w:rPr>
              <w:t>Name of Each Exchange on Which</w:t>
            </w:r>
          </w:p>
          <w:p>
            <w:pPr>
              <w:pStyle w:val="TableContents"/>
              <w:bidi w:val="0"/>
              <w:spacing w:before="0" w:after="0"/>
              <w:ind w:left="14" w:right="144" w:hanging="0"/>
              <w:jc w:val="center"/>
              <w:rPr>
                <w:b/>
              </w:rPr>
            </w:pPr>
            <w:r>
              <w:rPr>
                <w:b/>
              </w:rPr>
              <w:t>Each Class is to be Registered</w:t>
            </w:r>
          </w:p>
        </w:tc>
      </w:tr>
      <w:tr>
        <w:trPr/>
        <w:tc>
          <w:tcPr>
            <w:tcW w:w="6426" w:type="dxa"/>
            <w:tcBorders/>
            <w:tcMar>
              <w:bottom w:w="0" w:type="dxa"/>
            </w:tcMar>
            <w:vAlign w:val="center"/>
          </w:tcPr>
          <w:p>
            <w:pPr>
              <w:pStyle w:val="TableContents"/>
              <w:bidi w:val="0"/>
              <w:spacing w:before="0" w:after="0"/>
              <w:ind w:left="14" w:right="144" w:hanging="0"/>
              <w:jc w:val="center"/>
              <w:rPr>
                <w:b/>
              </w:rPr>
            </w:pPr>
            <w:r>
              <w:rPr>
                <w:b/>
              </w:rPr>
              <w:t>Ordinary Shares, par value $0.02288 per share</w:t>
            </w:r>
          </w:p>
        </w:tc>
        <w:tc>
          <w:tcPr>
            <w:tcW w:w="60" w:type="dxa"/>
            <w:tcBorders/>
            <w:tcMar>
              <w:bottom w:w="0" w:type="dxa"/>
            </w:tcMar>
            <w:vAlign w:val="center"/>
          </w:tcPr>
          <w:p>
            <w:pPr>
              <w:pStyle w:val="TableContents"/>
              <w:bidi w:val="0"/>
              <w:spacing w:before="0" w:after="283"/>
              <w:jc w:val="left"/>
              <w:rPr/>
            </w:pPr>
            <w:r>
              <w:rPr/>
              <w:t> </w:t>
            </w:r>
          </w:p>
        </w:tc>
        <w:tc>
          <w:tcPr>
            <w:tcW w:w="3719" w:type="dxa"/>
            <w:tcBorders/>
            <w:tcMar>
              <w:bottom w:w="0" w:type="dxa"/>
            </w:tcMar>
            <w:vAlign w:val="center"/>
          </w:tcPr>
          <w:p>
            <w:pPr>
              <w:pStyle w:val="TableContents"/>
              <w:bidi w:val="0"/>
              <w:spacing w:before="0" w:after="0"/>
              <w:ind w:left="14" w:right="144" w:hanging="0"/>
              <w:jc w:val="center"/>
              <w:rPr>
                <w:b/>
              </w:rPr>
            </w:pPr>
            <w:r>
              <w:rPr>
                <w:b/>
              </w:rPr>
              <w:t>The Nasdaq Stock Market LLC</w:t>
            </w:r>
          </w:p>
        </w:tc>
      </w:tr>
      <w:tr>
        <w:trPr/>
        <w:tc>
          <w:tcPr>
            <w:tcW w:w="6426" w:type="dxa"/>
            <w:tcBorders/>
            <w:tcMar>
              <w:bottom w:w="0" w:type="dxa"/>
            </w:tcMar>
            <w:vAlign w:val="center"/>
          </w:tcPr>
          <w:p>
            <w:pPr>
              <w:pStyle w:val="TableContents"/>
              <w:bidi w:val="0"/>
              <w:spacing w:before="0" w:after="0"/>
              <w:ind w:left="14" w:right="144" w:hanging="0"/>
              <w:jc w:val="center"/>
              <w:rPr>
                <w:b/>
              </w:rPr>
            </w:pPr>
            <w:r>
              <w:rPr>
                <w:b/>
              </w:rPr>
              <w:t>Warrants, each exercisable for one ordinary share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3719" w:type="dxa"/>
            <w:tcBorders/>
            <w:tcMar>
              <w:bottom w:w="0" w:type="dxa"/>
            </w:tcMar>
            <w:vAlign w:val="center"/>
          </w:tcPr>
          <w:p>
            <w:pPr>
              <w:pStyle w:val="TableContents"/>
              <w:bidi w:val="0"/>
              <w:spacing w:before="0" w:after="0"/>
              <w:ind w:left="14" w:right="144" w:hanging="0"/>
              <w:jc w:val="center"/>
              <w:rPr>
                <w:b/>
              </w:rPr>
            </w:pPr>
            <w:r>
              <w:rPr>
                <w:b/>
              </w:rPr>
              <w:t>The Nasdaq Stock Market LLC</w:t>
            </w:r>
          </w:p>
        </w:tc>
      </w:tr>
    </w:tbl>
    <w:p>
      <w:pPr>
        <w:pStyle w:val="TextBody"/>
        <w:bidi w:val="0"/>
        <w:spacing w:before="0" w:after="0"/>
        <w:jc w:val="left"/>
        <w:rPr/>
      </w:pPr>
      <w:r>
        <w:rPr/>
      </w:r>
    </w:p>
    <w:p>
      <w:pPr>
        <w:pStyle w:val="HorizontalLine"/>
        <w:pBdr>
          <w:bottom w:val="single" w:sz="12" w:space="0" w:color="808080"/>
        </w:pBdr>
        <w:bidi w:val="0"/>
        <w:ind w:left="14" w:right="144" w:hanging="0"/>
        <w:jc w:val="left"/>
        <w:rPr/>
      </w:pPr>
      <w:r>
        <w:rPr/>
      </w:r>
    </w:p>
    <w:p>
      <w:pPr>
        <w:pStyle w:val="TextBody"/>
        <w:bidi w:val="0"/>
        <w:spacing w:before="0" w:after="0"/>
        <w:ind w:left="14" w:right="144" w:hanging="0"/>
        <w:jc w:val="left"/>
        <w:rPr>
          <w:rFonts w:ascii="Times New Roman" w:hAnsi="Times New Roman"/>
          <w:color w:val="000000"/>
          <w:sz w:val="20"/>
        </w:rPr>
      </w:pPr>
      <w:r>
        <w:rPr>
          <w:rFonts w:ascii="Times New Roman" w:hAnsi="Times New Roman"/>
          <w:color w:val="000000"/>
          <w:sz w:val="20"/>
        </w:rPr>
        <w:t>If this form relates to the registration of a class of securities pursuant to Section 12(b) of the Exchange Act and is effective pursuant to General Instruction A.(c) or (e), please check the following box.  ☒</w:t>
      </w:r>
    </w:p>
    <w:p>
      <w:pPr>
        <w:pStyle w:val="TextBody"/>
        <w:bidi w:val="0"/>
        <w:spacing w:before="0" w:after="0"/>
        <w:jc w:val="left"/>
        <w:rPr>
          <w:color w:val="000000"/>
        </w:rPr>
      </w:pPr>
      <w:r>
        <w:rPr>
          <w:color w:val="000000"/>
        </w:rPr>
        <w:t> </w:t>
      </w:r>
    </w:p>
    <w:p>
      <w:pPr>
        <w:pStyle w:val="TextBody"/>
        <w:bidi w:val="0"/>
        <w:spacing w:before="0" w:after="0"/>
        <w:ind w:left="14" w:right="144" w:hanging="0"/>
        <w:jc w:val="left"/>
        <w:rPr>
          <w:rFonts w:ascii="Times New Roman" w:hAnsi="Times New Roman"/>
          <w:color w:val="000000"/>
          <w:sz w:val="20"/>
        </w:rPr>
      </w:pPr>
      <w:r>
        <w:rPr>
          <w:rFonts w:ascii="Times New Roman" w:hAnsi="Times New Roman"/>
          <w:color w:val="000000"/>
          <w:sz w:val="20"/>
        </w:rPr>
        <w:t>If this form relates to the registration of a class of securities pursuant to Section 12(g) of the Exchange Act and is effective pursuant to General Instruction A.(d) or (e), please check the following box.  ☐</w:t>
      </w:r>
    </w:p>
    <w:p>
      <w:pPr>
        <w:pStyle w:val="TextBody"/>
        <w:bidi w:val="0"/>
        <w:spacing w:before="0" w:after="0"/>
        <w:jc w:val="left"/>
        <w:rPr>
          <w:color w:val="000000"/>
        </w:rPr>
      </w:pPr>
      <w:r>
        <w:rPr>
          <w:color w:val="000000"/>
        </w:rPr>
        <w:t> </w:t>
      </w:r>
    </w:p>
    <w:p>
      <w:pPr>
        <w:pStyle w:val="TextBody"/>
        <w:bidi w:val="0"/>
        <w:spacing w:before="0" w:after="0"/>
        <w:ind w:left="14" w:right="144" w:hanging="0"/>
        <w:jc w:val="left"/>
        <w:rPr>
          <w:rFonts w:ascii="Times New Roman" w:hAnsi="Times New Roman"/>
          <w:color w:val="000000"/>
          <w:sz w:val="20"/>
        </w:rPr>
      </w:pPr>
      <w:r>
        <w:rPr>
          <w:rFonts w:ascii="Times New Roman" w:hAnsi="Times New Roman"/>
          <w:color w:val="000000"/>
          <w:sz w:val="20"/>
        </w:rPr>
        <w:t>If this form relates to the registration of a class of securities concurrently with a Regulation A offering, check the following box.  ☐</w:t>
      </w:r>
    </w:p>
    <w:p>
      <w:pPr>
        <w:pStyle w:val="TextBody"/>
        <w:bidi w:val="0"/>
        <w:spacing w:before="0" w:after="0"/>
        <w:jc w:val="left"/>
        <w:rPr/>
      </w:pPr>
      <w:r>
        <w:rPr/>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Securities Act registration statement or Regulation A offering statement file number to which this form relates:</w:t>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333-297284</w:t>
      </w:r>
    </w:p>
    <w:p>
      <w:pPr>
        <w:pStyle w:val="TextBody"/>
        <w:bidi w:val="0"/>
        <w:spacing w:before="0" w:after="0"/>
        <w:jc w:val="left"/>
        <w:rPr>
          <w:color w:val="000000"/>
        </w:rPr>
      </w:pPr>
      <w:r>
        <w:rPr>
          <w:color w:val="000000"/>
        </w:rPr>
        <w:t> </w:t>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Securities to be registered pursuant to Section 12(g) of the Act:</w:t>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None.</w:t>
      </w:r>
    </w:p>
    <w:p>
      <w:pPr>
        <w:pStyle w:val="TextBody"/>
        <w:bidi w:val="0"/>
        <w:spacing w:before="0" w:after="0"/>
        <w:ind w:left="14" w:right="144" w:hanging="0"/>
        <w:jc w:val="left"/>
        <w:rPr/>
      </w:pPr>
      <w:r>
        <w:rPr/>
      </w:r>
    </w:p>
    <w:p>
      <w:pPr>
        <w:pStyle w:val="HorizontalLine"/>
        <w:bidi w:val="0"/>
        <w:ind w:left="14" w:right="144" w:hanging="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 w:name="zbaba1894f57f4d97a25426c3f03956a0"/>
      <w:bookmarkStart w:id="9" w:name="zbaba1894f57f4d97a25426c3f03956a0"/>
      <w:bookmarkEnd w:id="9"/>
    </w:p>
    <w:tbl>
      <w:tblPr>
        <w:tblW w:w="6280" w:type="dxa"/>
        <w:jc w:val="left"/>
        <w:tblInd w:w="0" w:type="dxa"/>
        <w:tblLayout w:type="fixed"/>
        <w:tblCellMar>
          <w:top w:w="0" w:type="dxa"/>
          <w:left w:w="0" w:type="dxa"/>
          <w:bottom w:w="0" w:type="dxa"/>
          <w:right w:w="0" w:type="dxa"/>
        </w:tblCellMar>
      </w:tblPr>
      <w:tblGrid>
        <w:gridCol w:w="740"/>
        <w:gridCol w:w="5540"/>
      </w:tblGrid>
      <w:tr>
        <w:trPr/>
        <w:tc>
          <w:tcPr>
            <w:tcW w:w="740" w:type="dxa"/>
            <w:tcBorders/>
            <w:vAlign w:val="center"/>
          </w:tcPr>
          <w:p>
            <w:pPr>
              <w:pStyle w:val="TableContents"/>
              <w:bidi w:val="0"/>
              <w:spacing w:before="0" w:after="283"/>
              <w:jc w:val="left"/>
              <w:rPr>
                <w:b/>
              </w:rPr>
            </w:pPr>
            <w:r>
              <w:rPr>
                <w:b/>
              </w:rPr>
              <w:t>Item 1.</w:t>
            </w:r>
          </w:p>
        </w:tc>
        <w:tc>
          <w:tcPr>
            <w:tcW w:w="5540" w:type="dxa"/>
            <w:tcBorders/>
            <w:vAlign w:val="center"/>
          </w:tcPr>
          <w:p>
            <w:pPr>
              <w:pStyle w:val="TableContents"/>
              <w:bidi w:val="0"/>
              <w:spacing w:before="0" w:after="0"/>
              <w:jc w:val="left"/>
              <w:rPr>
                <w:b/>
              </w:rPr>
            </w:pPr>
            <w:r>
              <w:rPr>
                <w:b/>
              </w:rPr>
              <w:t>Description of Registrant’s Securities to be Registered.</w:t>
            </w:r>
          </w:p>
        </w:tc>
      </w:tr>
    </w:tbl>
    <w:p>
      <w:pPr>
        <w:pStyle w:val="TextBody"/>
        <w:bidi w:val="0"/>
        <w:spacing w:before="0" w:after="0"/>
        <w:jc w:val="left"/>
        <w:rPr>
          <w:color w:val="000000"/>
        </w:rPr>
      </w:pPr>
      <w:r>
        <w:rPr>
          <w:color w:val="000000"/>
        </w:rPr>
        <w:t> </w:t>
      </w:r>
    </w:p>
    <w:p>
      <w:pPr>
        <w:pStyle w:val="TextBody"/>
        <w:bidi w:val="0"/>
        <w:spacing w:before="0" w:after="0"/>
        <w:ind w:left="14" w:right="144" w:firstLine="490"/>
        <w:jc w:val="left"/>
        <w:rPr>
          <w:rFonts w:ascii="Times New Roman" w:hAnsi="Times New Roman"/>
          <w:color w:val="000000"/>
          <w:sz w:val="20"/>
        </w:rPr>
      </w:pPr>
      <w:r>
        <w:rPr>
          <w:rFonts w:ascii="Times New Roman" w:hAnsi="Times New Roman"/>
          <w:color w:val="000000"/>
          <w:sz w:val="20"/>
        </w:rPr>
        <w:t>The securities to be registered hereby are the ordinary shares, par value $0.02288 per share (the “Ordinary Shares”), of newcleo plc (the “Company”), and the warrants of the Company, each entitling the holder thereof to purchase one Ordinary Share at an exercise price of $11.50 per share (the “Warrants”).</w:t>
      </w:r>
    </w:p>
    <w:p>
      <w:pPr>
        <w:pStyle w:val="TextBody"/>
        <w:bidi w:val="0"/>
        <w:spacing w:before="0" w:after="0"/>
        <w:jc w:val="left"/>
        <w:rPr>
          <w:color w:val="000000"/>
        </w:rPr>
      </w:pPr>
      <w:r>
        <w:rPr>
          <w:color w:val="000000"/>
        </w:rPr>
        <w:t> </w:t>
      </w:r>
    </w:p>
    <w:p>
      <w:pPr>
        <w:pStyle w:val="TextBody"/>
        <w:bidi w:val="0"/>
        <w:spacing w:before="0" w:after="0"/>
        <w:ind w:left="14" w:right="144" w:firstLine="490"/>
        <w:jc w:val="left"/>
        <w:rPr>
          <w:rFonts w:ascii="Times New Roman" w:hAnsi="Times New Roman"/>
          <w:color w:val="000000"/>
          <w:sz w:val="20"/>
        </w:rPr>
      </w:pPr>
      <w:r>
        <w:rPr>
          <w:rFonts w:ascii="Times New Roman" w:hAnsi="Times New Roman"/>
          <w:color w:val="000000"/>
          <w:sz w:val="20"/>
        </w:rPr>
        <w:t>The description of the Ordinary Shares and the Warrants contained in the sections entitled “</w:t>
      </w:r>
      <w:r>
        <w:rPr>
          <w:rFonts w:ascii="Times New Roman" w:hAnsi="Times New Roman"/>
          <w:i/>
          <w:color w:val="000000"/>
          <w:sz w:val="20"/>
        </w:rPr>
        <w:t>Description of Company Ordinary Shares</w:t>
      </w:r>
      <w:r>
        <w:rPr>
          <w:rFonts w:ascii="Times New Roman" w:hAnsi="Times New Roman"/>
          <w:color w:val="000000"/>
          <w:sz w:val="20"/>
        </w:rPr>
        <w:t>” and “</w:t>
      </w:r>
      <w:r>
        <w:rPr>
          <w:rFonts w:ascii="Times New Roman" w:hAnsi="Times New Roman"/>
          <w:i/>
          <w:color w:val="000000"/>
          <w:sz w:val="20"/>
        </w:rPr>
        <w:t>Description of Company Warrants</w:t>
      </w:r>
      <w:r>
        <w:rPr>
          <w:rFonts w:ascii="Times New Roman" w:hAnsi="Times New Roman"/>
          <w:color w:val="000000"/>
          <w:sz w:val="20"/>
        </w:rPr>
        <w:t>,” respectively, and of the rights of holders of Ordinary Shares contained in the section entitled “</w:t>
      </w:r>
      <w:r>
        <w:rPr>
          <w:rFonts w:ascii="Times New Roman" w:hAnsi="Times New Roman"/>
          <w:i/>
          <w:color w:val="000000"/>
          <w:sz w:val="20"/>
        </w:rPr>
        <w:t>Comparison of Rights of Company Shareholders and SPAC Shareholders</w:t>
      </w:r>
      <w:r>
        <w:rPr>
          <w:rFonts w:ascii="Times New Roman" w:hAnsi="Times New Roman"/>
          <w:color w:val="000000"/>
          <w:sz w:val="20"/>
        </w:rPr>
        <w:t>” in the proxy statement/prospectus included in the Company’s Registration Statement on Form F-4 (File No. 333-297284), as amended from time to time (the “Registration Statement”), to which this Form 8-A relates, is incorporated herein by reference. Any form of prospectus or prospectus supplement to the Registration Statement that includes such descriptions and that is subsequently filed is also incorporated by reference herein.</w:t>
      </w:r>
    </w:p>
    <w:p>
      <w:pPr>
        <w:pStyle w:val="TextBody"/>
        <w:bidi w:val="0"/>
        <w:spacing w:before="0" w:after="0"/>
        <w:ind w:left="14" w:right="144" w:hanging="0"/>
        <w:jc w:val="left"/>
        <w:rPr/>
      </w:pPr>
      <w:r>
        <w:rPr/>
      </w:r>
    </w:p>
    <w:p>
      <w:pPr>
        <w:pStyle w:val="Normal"/>
        <w:bidi w:val="0"/>
        <w:spacing w:before="0" w:after="0"/>
        <w:jc w:val="left"/>
        <w:rPr>
          <w:sz w:val="4"/>
          <w:szCs w:val="4"/>
        </w:rPr>
      </w:pPr>
      <w:r>
        <w:rPr>
          <w:sz w:val="4"/>
          <w:szCs w:val="4"/>
        </w:rPr>
      </w:r>
      <w:bookmarkStart w:id="10" w:name="z2bd7104f54404791a1e7477beea19b90"/>
      <w:bookmarkStart w:id="11" w:name="z2bd7104f54404791a1e7477beea19b90"/>
      <w:bookmarkEnd w:id="11"/>
    </w:p>
    <w:tbl>
      <w:tblPr>
        <w:tblW w:w="1675" w:type="dxa"/>
        <w:jc w:val="left"/>
        <w:tblInd w:w="0" w:type="dxa"/>
        <w:tblLayout w:type="fixed"/>
        <w:tblCellMar>
          <w:top w:w="0" w:type="dxa"/>
          <w:left w:w="0" w:type="dxa"/>
          <w:bottom w:w="0" w:type="dxa"/>
          <w:right w:w="0" w:type="dxa"/>
        </w:tblCellMar>
      </w:tblPr>
      <w:tblGrid>
        <w:gridCol w:w="740"/>
        <w:gridCol w:w="935"/>
      </w:tblGrid>
      <w:tr>
        <w:trPr/>
        <w:tc>
          <w:tcPr>
            <w:tcW w:w="740" w:type="dxa"/>
            <w:tcBorders/>
            <w:vAlign w:val="center"/>
          </w:tcPr>
          <w:p>
            <w:pPr>
              <w:pStyle w:val="TableContents"/>
              <w:bidi w:val="0"/>
              <w:spacing w:before="0" w:after="283"/>
              <w:jc w:val="left"/>
              <w:rPr>
                <w:b/>
              </w:rPr>
            </w:pPr>
            <w:r>
              <w:rPr>
                <w:b/>
              </w:rPr>
              <w:t>Item 2.</w:t>
            </w:r>
          </w:p>
        </w:tc>
        <w:tc>
          <w:tcPr>
            <w:tcW w:w="935" w:type="dxa"/>
            <w:tcBorders/>
            <w:vAlign w:val="center"/>
          </w:tcPr>
          <w:p>
            <w:pPr>
              <w:pStyle w:val="TableContents"/>
              <w:bidi w:val="0"/>
              <w:spacing w:before="0" w:after="0"/>
              <w:jc w:val="left"/>
              <w:rPr>
                <w:b/>
              </w:rPr>
            </w:pPr>
            <w:r>
              <w:rPr>
                <w:b/>
              </w:rPr>
              <w:t>Exhibits.</w:t>
            </w:r>
          </w:p>
        </w:tc>
      </w:tr>
    </w:tbl>
    <w:p>
      <w:pPr>
        <w:pStyle w:val="TextBody"/>
        <w:bidi w:val="0"/>
        <w:spacing w:before="0" w:after="0"/>
        <w:jc w:val="left"/>
        <w:rPr>
          <w:color w:val="000000"/>
        </w:rPr>
      </w:pPr>
      <w:r>
        <w:rPr>
          <w:color w:val="000000"/>
        </w:rPr>
        <w:t> </w:t>
      </w:r>
    </w:p>
    <w:p>
      <w:pPr>
        <w:pStyle w:val="TextBody"/>
        <w:bidi w:val="0"/>
        <w:spacing w:before="0" w:after="0"/>
        <w:ind w:left="14" w:right="144" w:firstLine="490"/>
        <w:jc w:val="left"/>
        <w:rPr>
          <w:rFonts w:ascii="Times New Roman" w:hAnsi="Times New Roman"/>
          <w:color w:val="000000"/>
          <w:sz w:val="20"/>
        </w:rPr>
      </w:pPr>
      <w:r>
        <w:rPr>
          <w:rFonts w:ascii="Times New Roman" w:hAnsi="Times New Roman"/>
          <w:color w:val="000000"/>
          <w:sz w:val="20"/>
        </w:rPr>
        <w:t>Pursuant to the Instructions as to Exhibits for Form 8-A, no exhibits are required to be filed herewith or incorporated by reference, because no other securities of the Registrant are registered on The Nasdaq Stock Market LLC and the securities registered hereby are not being registered pursuant to Section 12(g) of the Securities Exchange Act of 1934, as amended.</w:t>
      </w:r>
    </w:p>
    <w:p>
      <w:pPr>
        <w:pStyle w:val="TextBody"/>
        <w:bidi w:val="0"/>
        <w:spacing w:before="0" w:after="0"/>
        <w:ind w:left="14" w:right="144" w:firstLine="490"/>
        <w:jc w:val="left"/>
        <w:rPr>
          <w:color w:val="000000"/>
        </w:rPr>
      </w:pPr>
      <w:r>
        <w:rPr>
          <w:color w:val="000000"/>
        </w:rPr>
      </w:r>
    </w:p>
    <w:p>
      <w:pPr>
        <w:pStyle w:val="HorizontalLine"/>
        <w:pBdr>
          <w:bottom w:val="single" w:sz="12" w:space="0" w:color="808080"/>
        </w:pBdr>
        <w:bidi w:val="0"/>
        <w:spacing w:before="200" w:after="200"/>
        <w:jc w:val="left"/>
        <w:rPr/>
      </w:pPr>
      <w:r>
        <w:rPr/>
      </w:r>
    </w:p>
    <w:p>
      <w:pPr>
        <w:pStyle w:val="TextBody"/>
        <w:bidi w:val="0"/>
        <w:spacing w:before="0" w:after="0"/>
        <w:ind w:left="14" w:right="144" w:hanging="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14" w:right="144" w:firstLine="490"/>
        <w:jc w:val="left"/>
        <w:rPr>
          <w:rFonts w:ascii="Times New Roman" w:hAnsi="Times New Roman"/>
          <w:color w:val="000000"/>
          <w:sz w:val="20"/>
        </w:rPr>
      </w:pPr>
      <w:r>
        <w:rPr>
          <w:rFonts w:ascii="Times New Roman" w:hAnsi="Times New Roman"/>
          <w:color w:val="000000"/>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14" w:right="144" w:hanging="0"/>
        <w:jc w:val="left"/>
        <w:rPr/>
      </w:pPr>
      <w:r>
        <w:rPr/>
      </w:r>
    </w:p>
    <w:p>
      <w:pPr>
        <w:pStyle w:val="Normal"/>
        <w:bidi w:val="0"/>
        <w:spacing w:before="0" w:after="0"/>
        <w:jc w:val="left"/>
        <w:rPr>
          <w:sz w:val="4"/>
          <w:szCs w:val="4"/>
        </w:rPr>
      </w:pPr>
      <w:r>
        <w:rPr>
          <w:sz w:val="4"/>
          <w:szCs w:val="4"/>
        </w:rPr>
      </w:r>
      <w:bookmarkStart w:id="12" w:name="z703c92dcf2ee42198add80b16bf620dc"/>
      <w:bookmarkStart w:id="13" w:name="z703c92dcf2ee42198add80b16bf620dc"/>
      <w:bookmarkEnd w:id="13"/>
    </w:p>
    <w:tbl>
      <w:tblPr>
        <w:tblW w:w="5613" w:type="dxa"/>
        <w:jc w:val="left"/>
        <w:tblInd w:w="0" w:type="dxa"/>
        <w:tblLayout w:type="fixed"/>
        <w:tblCellMar>
          <w:top w:w="0" w:type="dxa"/>
          <w:left w:w="0" w:type="dxa"/>
          <w:bottom w:w="0" w:type="dxa"/>
          <w:right w:w="0" w:type="dxa"/>
        </w:tblCellMar>
      </w:tblPr>
      <w:tblGrid>
        <w:gridCol w:w="2615"/>
        <w:gridCol w:w="60"/>
        <w:gridCol w:w="509"/>
        <w:gridCol w:w="2429"/>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8" w:type="dxa"/>
            <w:gridSpan w:val="2"/>
            <w:tcBorders/>
            <w:vAlign w:val="center"/>
          </w:tcPr>
          <w:p>
            <w:pPr>
              <w:pStyle w:val="TableContents"/>
              <w:bidi w:val="0"/>
              <w:spacing w:before="0" w:after="0"/>
              <w:ind w:left="0" w:right="144" w:hanging="0"/>
              <w:jc w:val="left"/>
              <w:rPr>
                <w:b/>
              </w:rPr>
            </w:pPr>
            <w:r>
              <w:rPr>
                <w:b/>
              </w:rPr>
              <w:t>newcleo plc</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8" w:type="dxa"/>
            <w:gridSpan w:val="2"/>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0"/>
              <w:ind w:left="14" w:right="144" w:hanging="0"/>
              <w:jc w:val="left"/>
              <w:rPr/>
            </w:pPr>
            <w:r>
              <w:rPr/>
              <w:t>By:</w:t>
            </w:r>
          </w:p>
        </w:tc>
        <w:tc>
          <w:tcPr>
            <w:tcW w:w="2429" w:type="dxa"/>
            <w:tcBorders>
              <w:bottom w:val="single" w:sz="12" w:space="0" w:color="000000"/>
            </w:tcBorders>
            <w:tcMar>
              <w:bottom w:w="28" w:type="dxa"/>
            </w:tcMar>
            <w:vAlign w:val="center"/>
          </w:tcPr>
          <w:p>
            <w:pPr>
              <w:pStyle w:val="TableContents"/>
              <w:bidi w:val="0"/>
              <w:spacing w:before="0" w:after="0"/>
              <w:ind w:left="14" w:right="144" w:hanging="0"/>
              <w:jc w:val="left"/>
              <w:rPr/>
            </w:pPr>
            <w:r>
              <w:rPr/>
              <w:t>/s/ Stefano Buono</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2429" w:type="dxa"/>
            <w:tcBorders/>
            <w:vAlign w:val="center"/>
          </w:tcPr>
          <w:p>
            <w:pPr>
              <w:pStyle w:val="TableContents"/>
              <w:bidi w:val="0"/>
              <w:spacing w:before="0" w:after="0"/>
              <w:ind w:left="14" w:right="144" w:hanging="0"/>
              <w:jc w:val="left"/>
              <w:rPr/>
            </w:pPr>
            <w:r>
              <w:rPr/>
              <w:t>Stefano Buono</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2429" w:type="dxa"/>
            <w:tcBorders/>
            <w:vAlign w:val="center"/>
          </w:tcPr>
          <w:p>
            <w:pPr>
              <w:pStyle w:val="TableContents"/>
              <w:bidi w:val="0"/>
              <w:spacing w:before="0" w:after="0"/>
              <w:ind w:left="14" w:right="144" w:hanging="0"/>
              <w:jc w:val="left"/>
              <w:rPr/>
            </w:pPr>
            <w:r>
              <w:rPr/>
              <w:t>Chief Executive Officer</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2429"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pPr>
            <w:r>
              <w:rPr/>
              <w:t>Dated: September 21, 2026</w:t>
            </w:r>
          </w:p>
        </w:tc>
        <w:tc>
          <w:tcPr>
            <w:tcW w:w="6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2429"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539</Words>
  <Characters>2911</Characters>
  <CharactersWithSpaces>3439</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