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 Bourdoncle de Saint Salvy Anne-Francois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SOUTH AUDLEY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W1K2QH</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newcleo plc</w:t>
              </w:r>
            </w:hyperlink>
            <w:r>
              <w:rPr/>
              <w:t xml:space="preserve"> [ </w:t>
            </w:r>
            <w:r>
              <w:rPr>
                <w:rFonts w:ascii="Times;serif" w:hAnsi="Times;serif"/>
                <w:color w:val="0000FF"/>
                <w:sz w:val="24"/>
                <w:shd w:fill="FFFFFF" w:val="clear"/>
              </w:rPr>
              <w:t>NWCL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5"/>
        <w:gridCol w:w="1223"/>
        <w:gridCol w:w="1130"/>
        <w:gridCol w:w="1329"/>
        <w:gridCol w:w="939"/>
        <w:gridCol w:w="1268"/>
        <w:gridCol w:w="1232"/>
        <w:gridCol w:w="138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06/17/2035</w:t>
            </w:r>
          </w:p>
        </w:tc>
        <w:tc>
          <w:tcPr>
            <w:tcW w:w="13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34,334</w:t>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0.0228</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stock options.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Kateryna Fedorova, attorney-in-fact for Anne-Francois de Bourdoncle de Saint Salvy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53687_ex24.htm"/>
      <w:bookmarkStart w:id="3" w:name="ksdp253687_ex24"/>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Khalil Bukhari and Kateryna Fedorova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newcleo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conversion or other similar actions relating to any of the Company’s equity securities), orally or electronically, to sell equity securities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16th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05"/>
        <w:gridCol w:w="75"/>
      </w:tblGrid>
      <w:tr>
        <w:trPr/>
        <w:tc>
          <w:tcPr>
            <w:tcW w:w="875" w:type="dxa"/>
            <w:tcBorders/>
            <w:vAlign w:val="center"/>
          </w:tcPr>
          <w:p>
            <w:pPr>
              <w:pStyle w:val="TableContents"/>
              <w:bidi w:val="0"/>
              <w:spacing w:before="0" w:after="283"/>
              <w:jc w:val="left"/>
              <w:rPr>
                <w:sz w:val="20"/>
              </w:rPr>
            </w:pPr>
            <w:r>
              <w:rPr>
                <w:sz w:val="20"/>
              </w:rPr>
              <w:t>Name:</w:t>
            </w:r>
          </w:p>
        </w:tc>
        <w:tc>
          <w:tcPr>
            <w:tcW w:w="3905" w:type="dxa"/>
            <w:tcBorders>
              <w:bottom w:val="single" w:sz="8" w:space="0" w:color="000000"/>
            </w:tcBorders>
            <w:tcMar>
              <w:bottom w:w="28" w:type="dxa"/>
            </w:tcMar>
            <w:vAlign w:val="center"/>
          </w:tcPr>
          <w:p>
            <w:pPr>
              <w:pStyle w:val="TableContents"/>
              <w:bidi w:val="0"/>
              <w:spacing w:before="0" w:after="283"/>
              <w:jc w:val="left"/>
              <w:rPr>
                <w:sz w:val="20"/>
              </w:rPr>
            </w:pPr>
            <w:r>
              <w:rPr>
                <w:sz w:val="20"/>
              </w:rPr>
              <w:t>Anne-Francois de Bourdoncle de Saint Salvy</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39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Anne-Francois de Bourdoncle de Saint Salvy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666" TargetMode="External"/><Relationship Id="rId3" Type="http://schemas.openxmlformats.org/officeDocument/2006/relationships/hyperlink" Target="http://www.sec.gov/cgi-bin/browse-edgar?action=getcompany&amp;CIK=00021318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1108</Words>
  <Characters>5989</Characters>
  <CharactersWithSpaces>7082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