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Rizzotti Elisabeth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SOUTH AUDLEY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W1K2QH</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newcleo plc</w:t>
              </w:r>
            </w:hyperlink>
            <w:r>
              <w:rPr/>
              <w:t xml:space="preserve"> [ </w:t>
            </w:r>
            <w:r>
              <w:rPr>
                <w:rFonts w:ascii="Times;serif" w:hAnsi="Times;serif"/>
                <w:color w:val="0000FF"/>
                <w:sz w:val="24"/>
                <w:shd w:fill="FFFFFF" w:val="clear"/>
              </w:rPr>
              <w:t>NWCL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Deputy CEO and COO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324,472</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76"/>
        <w:gridCol w:w="1223"/>
        <w:gridCol w:w="1129"/>
        <w:gridCol w:w="1319"/>
        <w:gridCol w:w="980"/>
        <w:gridCol w:w="1266"/>
        <w:gridCol w:w="1229"/>
        <w:gridCol w:w="138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7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9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7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8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12/01/2035</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961,400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0.0228</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08/31/2034</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37,597</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0.0228</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08/31/2033</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74,164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0.0228</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7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08/31/2032</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124,180</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0.0228</w:t>
            </w:r>
          </w:p>
        </w:tc>
        <w:tc>
          <w:tcPr>
            <w:tcW w:w="12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stock options granted on December 1, 2025 that are subject to time-based vesting that vest 25% on each of the first four anniversaries of the grant date, subject to continued employment on each vesting date and applicable accelerated vesting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stock options granted on September 1, 2024 that are subject to time-based vesting that vest 25% on each of the first four anniversaries of the grant date, subject to continued employment on each vesting date and applicable accelerated vesting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stock options granted on September 1, 2023 that are subject to time-based vesting that vest 25% on each of the first four anniversaries of the grant date, subject to continued employment on each vesting date and applicable accelerated vesting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stock options granted on September 1, 2022 that are subject to time-based vesting that vest 25% on each of the first four anniversaries of the grant date, subject to continued employment on each vesting date and applicable accelerated vesting provisions.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Kateryna Fedorova, attorney-in-fact for Elisabeth Rizzotti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3691_ex24.htm"/>
      <w:bookmarkStart w:id="3" w:name="ksdp253691_ex24"/>
      <w:bookmarkEnd w:id="2"/>
      <w:bookmarkEnd w:id="3"/>
      <w:r>
        <w:rPr>
          <w:rFonts w:ascii="Times New Roman;Times;Serif" w:hAnsi="Times New Roman;Times;Serif"/>
          <w:b/>
          <w:i w:val="false"/>
          <w:caps w:val="false"/>
          <w:smallCaps w:val="false"/>
          <w:sz w:val="20"/>
        </w:rPr>
        <w:t>Exhibit 24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Khalil Bukhari and Kateryna Fedorova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newcleo plc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execute and file, or cause to be prepared, executed and filed, on behalf of the undersigned one or more Forms 144, or any amendments thereto, relating to any sales orders (including in connection with the exercise, conversion or other similar actions relating to any of the Company’s equity securities), orally or electronically, to sell equity securities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16th day of September, 2026.</w:t>
      </w:r>
    </w:p>
    <w:p>
      <w:pPr>
        <w:pStyle w:val="TextBody"/>
        <w:bidi w:val="0"/>
        <w:spacing w:before="0" w:after="0"/>
        <w:ind w:left="0" w:right="0" w:firstLine="72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875"/>
        <w:gridCol w:w="1730"/>
        <w:gridCol w:w="75"/>
      </w:tblGrid>
      <w:tr>
        <w:trPr/>
        <w:tc>
          <w:tcPr>
            <w:tcW w:w="875" w:type="dxa"/>
            <w:tcBorders/>
            <w:vAlign w:val="center"/>
          </w:tcPr>
          <w:p>
            <w:pPr>
              <w:pStyle w:val="TableContents"/>
              <w:bidi w:val="0"/>
              <w:spacing w:before="0" w:after="283"/>
              <w:jc w:val="left"/>
              <w:rPr>
                <w:sz w:val="20"/>
              </w:rPr>
            </w:pPr>
            <w:r>
              <w:rPr>
                <w:sz w:val="20"/>
              </w:rPr>
              <w:t>Name:</w:t>
            </w:r>
          </w:p>
        </w:tc>
        <w:tc>
          <w:tcPr>
            <w:tcW w:w="1730" w:type="dxa"/>
            <w:tcBorders>
              <w:bottom w:val="single" w:sz="8" w:space="0" w:color="000000"/>
            </w:tcBorders>
            <w:tcMar>
              <w:bottom w:w="28" w:type="dxa"/>
            </w:tcMar>
            <w:vAlign w:val="center"/>
          </w:tcPr>
          <w:p>
            <w:pPr>
              <w:pStyle w:val="TableContents"/>
              <w:bidi w:val="0"/>
              <w:spacing w:before="0" w:after="283"/>
              <w:jc w:val="left"/>
              <w:rPr>
                <w:sz w:val="20"/>
              </w:rPr>
            </w:pPr>
            <w:r>
              <w:rPr>
                <w:sz w:val="20"/>
              </w:rPr>
              <w:t>Elisabeth Rizzotti</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73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Elisabeth Rizzotti</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7651" TargetMode="External"/><Relationship Id="rId3" Type="http://schemas.openxmlformats.org/officeDocument/2006/relationships/hyperlink" Target="http://www.sec.gov/cgi-bin/browse-edgar?action=getcompany&amp;CIK=000213181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1300</Words>
  <Characters>7015</Characters>
  <CharactersWithSpaces>8272</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